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Ninguno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ПРОЕКТ</w:t>
      </w:r>
    </w:p>
    <w:p>
      <w:pPr>
        <w:pStyle w:val="Normal.0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ПОЛОЖЕНИЕ</w:t>
      </w:r>
    </w:p>
    <w:p>
      <w:pPr>
        <w:pStyle w:val="Normal.0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 КООРДИНАЦИОННОМ СОВЕТЕ РОССИЙСКИХ СООТЕЧЕСТВЕННИКОВ</w:t>
      </w:r>
      <w:r>
        <w:rPr>
          <w:rStyle w:val="Ninguno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ПРОЖИВАЮЩИХ В ЧИЛИ </w:t>
      </w:r>
    </w:p>
    <w:p>
      <w:pPr>
        <w:pStyle w:val="Normal.0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КСОРС ЧИЛИ</w:t>
      </w:r>
      <w:r>
        <w:rPr>
          <w:rStyle w:val="Ninguno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sz w:val="28"/>
          <w:szCs w:val="28"/>
          <w:rtl w:val="0"/>
          <w:lang w:val="ru-RU"/>
        </w:rPr>
      </w:pPr>
      <w:r>
        <w:rPr>
          <w:rStyle w:val="Ninguno"/>
          <w:b w:val="1"/>
          <w:bCs w:val="1"/>
          <w:sz w:val="28"/>
          <w:szCs w:val="28"/>
          <w:rtl w:val="0"/>
          <w:lang w:val="ru-RU"/>
        </w:rPr>
        <w:t>Общие положения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КСОРС Чили создан для координации деятельности общественной деятельности российских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проживающих в Чили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в целях их консолидации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защиты их законных прав и интересов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сохранению и популяризации русского языка и национальной культуры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укреплению связей соотечественников с их исторической Родиной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КРОСР является координирующим органом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работающим принципах демократии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открытости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выборности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коллегиальности и отчетности перед русскоязычной общиной Чили</w:t>
      </w:r>
      <w:r>
        <w:rPr>
          <w:rStyle w:val="Ninguno"/>
          <w:sz w:val="28"/>
          <w:szCs w:val="28"/>
          <w:rtl w:val="0"/>
          <w:lang w:val="ru-RU"/>
        </w:rPr>
        <w:t>.</w:t>
      </w:r>
      <w:r>
        <w:rPr>
          <w:rStyle w:val="Ninguno"/>
          <w:sz w:val="28"/>
          <w:szCs w:val="28"/>
          <w:rtl w:val="0"/>
          <w:lang w:val="ru-RU"/>
        </w:rPr>
        <w:t xml:space="preserve"> Соотечественники вправе ожидать от КСОРС поддержку по существу возникающих у них проблем и вопросов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КСОРС Чили координирует свою работу с Региональным и Всемирным координационными советами соотечественников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Финансирование работы КСОРС осуществляется путем получения грантов различных государственных и общественных фондов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благотворительных взносов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спонсорской помощи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Деятельность КСОРС носит некоммерческий характер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Мероприятия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проводимые под эгидой КСОРС</w:t>
      </w:r>
      <w:r>
        <w:rPr>
          <w:rStyle w:val="Ninguno"/>
          <w:sz w:val="28"/>
          <w:szCs w:val="28"/>
          <w:rtl w:val="0"/>
          <w:lang w:val="ru-RU"/>
        </w:rPr>
        <w:t>,</w:t>
      </w:r>
      <w:r>
        <w:rPr>
          <w:rStyle w:val="Ninguno"/>
          <w:sz w:val="28"/>
          <w:szCs w:val="28"/>
          <w:rtl w:val="0"/>
          <w:lang w:val="ru-RU"/>
        </w:rPr>
        <w:t xml:space="preserve"> открыты и бесплатны для всех членов русскоязычной общины и представителей страны пребывания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всех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заинтересованных в продвижении русского языка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популяризации нашей культуры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желающих узнать больше об истории и культуре России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актуальных событиях в стране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Русский язык является как официальным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так и рабочим языком КСОРС и проводимых им мероприятий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both"/>
        <w:rPr>
          <w:b w:val="1"/>
          <w:bCs w:val="1"/>
          <w:sz w:val="28"/>
          <w:szCs w:val="28"/>
          <w:rtl w:val="0"/>
          <w:lang w:val="ru-RU"/>
        </w:rPr>
      </w:pPr>
      <w:r>
        <w:rPr>
          <w:rStyle w:val="Ninguno"/>
          <w:b w:val="1"/>
          <w:bCs w:val="1"/>
          <w:sz w:val="28"/>
          <w:szCs w:val="28"/>
          <w:rtl w:val="0"/>
          <w:lang w:val="ru-RU"/>
        </w:rPr>
        <w:t>Порядок формирования</w:t>
      </w: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 xml:space="preserve">Количество членов КСОРС составляет </w:t>
      </w:r>
      <w:r>
        <w:rPr>
          <w:rStyle w:val="Ninguno"/>
          <w:sz w:val="28"/>
          <w:szCs w:val="28"/>
          <w:rtl w:val="0"/>
          <w:lang w:val="ru-RU"/>
        </w:rPr>
        <w:t xml:space="preserve">10 </w:t>
      </w:r>
      <w:r>
        <w:rPr>
          <w:rStyle w:val="Ninguno"/>
          <w:sz w:val="28"/>
          <w:szCs w:val="28"/>
          <w:rtl w:val="0"/>
          <w:lang w:val="ru-RU"/>
        </w:rPr>
        <w:t>человек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включая председателя КСОРС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Каждый из членов имеет один голос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при решении спорных вопросов решающим является голос председателя КСОРС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Члены КСОРС участвуют в его работе на добровольных и безвозмездных началах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Членом КСОРС могут стать как общественные организации российских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так и частные лица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Выдвижение членов КСОРС осуществляется в ходе отчетно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>выборных конференций российских соотечественников из числа авторитетных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пользующихся доверием общины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избрание реализуется тайным голосованием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Избрание членов КСОРС должно учитывать региональное представительство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исходя из мест проживания соотечественников на территории Чили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Вхождение той или иной зарегистрированной организации соотечественников в КСОРС осуществляется путем подачи соответствующего заявления с его последующим рассмотрением на очередной ежегодной конференции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в таком случае в состав КСОРС включается руководитель зарегистрированной общественной организации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Председатель КСОРС избирается из его членов открытым голосованием в ходе отчетно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>выборной конференции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При определении своего руководящего состава КСОРС опирается на принцип разумной ротации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соблюдая преемственность в своей деятельности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Председатель КСОРС не может быть членом Регионального и</w:t>
      </w:r>
      <w:r>
        <w:rPr>
          <w:rStyle w:val="Ninguno"/>
          <w:sz w:val="28"/>
          <w:szCs w:val="28"/>
          <w:rtl w:val="0"/>
          <w:lang w:val="ru-RU"/>
        </w:rPr>
        <w:t>/</w:t>
      </w:r>
      <w:r>
        <w:rPr>
          <w:rStyle w:val="Ninguno"/>
          <w:sz w:val="28"/>
          <w:szCs w:val="28"/>
          <w:rtl w:val="0"/>
          <w:lang w:val="ru-RU"/>
        </w:rPr>
        <w:t>или Всемирного координационных советов соотечественников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7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Отчетно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 xml:space="preserve">выборные конференции соотечественников созываются раз в три года </w:t>
      </w:r>
      <w:r>
        <w:rPr>
          <w:rStyle w:val="Ninguno"/>
          <w:sz w:val="28"/>
          <w:szCs w:val="28"/>
          <w:rtl w:val="0"/>
          <w:lang w:val="ru-RU"/>
        </w:rPr>
        <w:t xml:space="preserve">- </w:t>
      </w:r>
      <w:r>
        <w:rPr>
          <w:rStyle w:val="Ninguno"/>
          <w:sz w:val="28"/>
          <w:szCs w:val="28"/>
          <w:rtl w:val="0"/>
          <w:lang w:val="ru-RU"/>
        </w:rPr>
        <w:t>в год созыва Всемирного Конгресса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Выбранный состав КСОРС действует в этом качестве три года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начиная с даты проведения Всемирного конгресса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 xml:space="preserve">КСОРС собирается на свои заседания не менее </w:t>
      </w:r>
      <w:r>
        <w:rPr>
          <w:rStyle w:val="Ninguno"/>
          <w:sz w:val="28"/>
          <w:szCs w:val="28"/>
          <w:rtl w:val="0"/>
          <w:lang w:val="ru-RU"/>
        </w:rPr>
        <w:t>3</w:t>
      </w:r>
      <w:r>
        <w:rPr>
          <w:rStyle w:val="Ninguno"/>
          <w:sz w:val="28"/>
          <w:szCs w:val="28"/>
          <w:rtl w:val="0"/>
          <w:lang w:val="ru-RU"/>
        </w:rPr>
        <w:t xml:space="preserve"> раз в год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В заседаниях КСОРС имеют право принимать участие все заинтересованные члены русскоязычной общины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однако</w:t>
      </w:r>
      <w:r>
        <w:rPr>
          <w:rStyle w:val="Ninguno"/>
          <w:sz w:val="28"/>
          <w:szCs w:val="28"/>
          <w:rtl w:val="0"/>
          <w:lang w:val="ru-RU"/>
        </w:rPr>
        <w:t xml:space="preserve">, </w:t>
      </w:r>
      <w:r>
        <w:rPr>
          <w:rStyle w:val="Ninguno"/>
          <w:sz w:val="28"/>
          <w:szCs w:val="28"/>
          <w:rtl w:val="0"/>
          <w:lang w:val="ru-RU"/>
        </w:rPr>
        <w:t>без права голоса при принятии каких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>либо решений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Все протоколы заседаний КСОРС подписываются его председателем и секретарем КСОРС и публикуется в открытом доступе</w:t>
      </w:r>
      <w:r>
        <w:rPr>
          <w:rStyle w:val="Ninguno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b w:val="1"/>
          <w:bCs w:val="1"/>
          <w:sz w:val="28"/>
          <w:szCs w:val="28"/>
          <w:rtl w:val="0"/>
          <w:lang w:val="ru-RU"/>
        </w:rPr>
      </w:pPr>
      <w:r>
        <w:rPr>
          <w:rStyle w:val="Ninguno"/>
          <w:b w:val="1"/>
          <w:bCs w:val="1"/>
          <w:sz w:val="28"/>
          <w:szCs w:val="28"/>
          <w:rtl w:val="0"/>
          <w:lang w:val="ru-RU"/>
        </w:rPr>
        <w:t>Функционирование КСОРС</w:t>
      </w:r>
    </w:p>
    <w:p>
      <w:pPr>
        <w:pStyle w:val="List Paragraph"/>
        <w:numPr>
          <w:ilvl w:val="0"/>
          <w:numId w:val="11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К функциональным обязанностям КСОРС относятся</w:t>
      </w:r>
      <w:r>
        <w:rPr>
          <w:rStyle w:val="Ninguno"/>
          <w:sz w:val="28"/>
          <w:szCs w:val="28"/>
          <w:rtl w:val="0"/>
          <w:lang w:val="ru-RU"/>
        </w:rPr>
        <w:t>: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 xml:space="preserve">планирование работы на краткосрочный 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до года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 xml:space="preserve">и среднесрочный 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3-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х лет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период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предоставление отчетов о работе КСОРС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организация работы общины по выполнению решений всемирных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региональных и страновых форумов соотечественников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координация деятельности организаций и объединений соотечественников в целях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консолидации общины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разработка проектов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 xml:space="preserve"> нацеленных на продвижения русского языка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национальной культуры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сохранение культурной самобытности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продвижение информации в стране пребывания о достижениях многонациональной культуры России и актуальных событиях в нашей стране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защите интересов русскоязычной общины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подготовка и проведение ежегодных отчетно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выборных и тематических конференций соотечественников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принятие решений о моральном поощрении наиболее активных членов общины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координация деятельности русскоязычной общины как  с российскими государственными структурами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Ninguno"/>
          <w:rFonts w:ascii="Times New Roman" w:hAnsi="Times New Roman" w:hint="default"/>
          <w:sz w:val="28"/>
          <w:szCs w:val="28"/>
          <w:rtl w:val="0"/>
          <w:lang w:val="ru-RU"/>
        </w:rPr>
        <w:t>так и государственными структурами страны пребывания</w:t>
      </w:r>
      <w:r>
        <w:rPr>
          <w:rStyle w:val="Ninguno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/>
        <w:ind w:left="0" w:firstLine="0"/>
        <w:jc w:val="both"/>
        <w:rPr>
          <w:rStyle w:val="Ninguno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IV</w:t>
      </w:r>
      <w:r>
        <w:rPr>
          <w:rStyle w:val="Ninguno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Ninguno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Вступление в силу настоящего Положения</w:t>
      </w:r>
    </w:p>
    <w:p>
      <w:pPr>
        <w:pStyle w:val="List Paragraph"/>
        <w:numPr>
          <w:ilvl w:val="0"/>
          <w:numId w:val="13"/>
        </w:numPr>
        <w:bidi w:val="0"/>
        <w:spacing w:after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Ninguno"/>
          <w:sz w:val="28"/>
          <w:szCs w:val="28"/>
          <w:rtl w:val="0"/>
          <w:lang w:val="ru-RU"/>
        </w:rPr>
        <w:t>Данное положение вступает в силу после его одобрения простым большинством участников отчетно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>выборной конференции соотечественников</w:t>
      </w:r>
      <w:r>
        <w:rPr>
          <w:rStyle w:val="Ninguno"/>
          <w:sz w:val="28"/>
          <w:szCs w:val="28"/>
          <w:rtl w:val="0"/>
          <w:lang w:val="ru-RU"/>
        </w:rPr>
        <w:t xml:space="preserve">. </w:t>
      </w:r>
      <w:r>
        <w:rPr>
          <w:rStyle w:val="Ninguno"/>
          <w:sz w:val="28"/>
          <w:szCs w:val="28"/>
          <w:rtl w:val="0"/>
          <w:lang w:val="ru-RU"/>
        </w:rPr>
        <w:t>Изменения в данное положение также принимаются простым большинством голосов в ходе отчетно</w:t>
      </w:r>
      <w:r>
        <w:rPr>
          <w:rStyle w:val="Ninguno"/>
          <w:sz w:val="28"/>
          <w:szCs w:val="28"/>
          <w:rtl w:val="0"/>
          <w:lang w:val="ru-RU"/>
        </w:rPr>
        <w:t>-</w:t>
      </w:r>
      <w:r>
        <w:rPr>
          <w:rStyle w:val="Ninguno"/>
          <w:sz w:val="28"/>
          <w:szCs w:val="28"/>
          <w:rtl w:val="0"/>
          <w:lang w:val="ru-RU"/>
        </w:rPr>
        <w:t>выборных конференций соотечественников</w:t>
      </w:r>
      <w:r>
        <w:rPr>
          <w:rStyle w:val="Ninguno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Roman"/>
      <w:suff w:val="tab"/>
      <w:lvlText w:val="%1."/>
      <w:lvlJc w:val="left"/>
      <w:pPr>
        <w:ind w:left="222" w:hanging="2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5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5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7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5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30" w:hanging="33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5" w:hanging="2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decimal"/>
      <w:suff w:val="tab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decimal"/>
      <w:suff w:val="tab"/>
      <w:lvlText w:val="%1."/>
      <w:lvlJc w:val="left"/>
      <w:pPr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6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9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5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6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12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7"/>
    </w:lvlOverride>
  </w:num>
  <w:num w:numId="9">
    <w:abstractNumId w:val="0"/>
    <w:lvlOverride w:ilvl="0">
      <w:startOverride w:val="3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Ninguno">
    <w:name w:val="Ninguno"/>
    <w:rPr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6"/>
      </w:numPr>
    </w:pPr>
  </w:style>
  <w:style w:type="numbering" w:styleId="Estilo importado 4">
    <w:name w:val="Estilo importado 4"/>
    <w:pPr>
      <w:numPr>
        <w:numId w:val="10"/>
      </w:numPr>
    </w:pPr>
  </w:style>
  <w:style w:type="numbering" w:styleId="Estilo importado 5">
    <w:name w:val="Estilo importado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